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EA" w:rsidRPr="00397C15" w:rsidRDefault="00A3240D" w:rsidP="00397C15">
      <w:pPr>
        <w:pStyle w:val="Instruccionesenvocorreo"/>
        <w:jc w:val="center"/>
        <w:rPr>
          <w:b/>
        </w:rPr>
      </w:pPr>
      <w:r w:rsidRPr="00397C15">
        <w:rPr>
          <w:b/>
        </w:rPr>
        <w:t>Breve respuesta al Comentario de Domingo Cavallo a mi libro YO NO ME QUIERO IR</w:t>
      </w:r>
    </w:p>
    <w:p w:rsidR="00397C15" w:rsidRDefault="00397C15"/>
    <w:p w:rsidR="00A3240D" w:rsidRDefault="007F2B79">
      <w:r>
        <w:t>Obviamente, mi</w:t>
      </w:r>
      <w:r w:rsidR="00A3240D">
        <w:t xml:space="preserve"> respuesta arranca con un agradecimiento. Lo más preciado para un escritor es ser leído, discutido y si </w:t>
      </w:r>
      <w:r w:rsidR="00F521DF">
        <w:t xml:space="preserve">lo que escribe </w:t>
      </w:r>
      <w:r w:rsidR="00A3240D">
        <w:t xml:space="preserve">genera polémica o discusión tanto mejor. Y si </w:t>
      </w:r>
      <w:r>
        <w:t xml:space="preserve">ese </w:t>
      </w:r>
      <w:r w:rsidR="00A3240D">
        <w:t>pol</w:t>
      </w:r>
      <w:r>
        <w:t xml:space="preserve">emista </w:t>
      </w:r>
      <w:r w:rsidR="00A3240D">
        <w:t>es Domingo Cavallo much</w:t>
      </w:r>
      <w:r w:rsidR="00F521DF">
        <w:t xml:space="preserve">ísimo </w:t>
      </w:r>
      <w:r w:rsidR="00A3240D">
        <w:t>mejor. Así que muchas gracias por el tiempo y dedicación al tema</w:t>
      </w:r>
      <w:proofErr w:type="gramStart"/>
      <w:r w:rsidR="0066496C">
        <w:t>!</w:t>
      </w:r>
      <w:proofErr w:type="gramEnd"/>
    </w:p>
    <w:p w:rsidR="007F2B79" w:rsidRDefault="00A3240D">
      <w:r>
        <w:t xml:space="preserve">En este documento, </w:t>
      </w:r>
      <w:r w:rsidR="0066496C">
        <w:t xml:space="preserve">Domingo </w:t>
      </w:r>
      <w:r>
        <w:t>propone 8 puntos de discrepancia, todos relacionados con mi interpretación de lo que ocurrió a nivel mac</w:t>
      </w:r>
      <w:r w:rsidR="007F2B79">
        <w:t>roeconómico durante las últimas dos décadas, y en especial luego de la salida de la Convertibilidad</w:t>
      </w:r>
      <w:r>
        <w:t xml:space="preserve">. </w:t>
      </w:r>
      <w:r w:rsidR="0066496C">
        <w:t xml:space="preserve">Mi impresión es que piensa que soy demasiado benévolo con la supuesta “década ganada”. </w:t>
      </w:r>
    </w:p>
    <w:p w:rsidR="00A3240D" w:rsidRDefault="007F2B79">
      <w:r>
        <w:t>Pero v</w:t>
      </w:r>
      <w:r w:rsidR="00A3240D">
        <w:t>ayamos a los distintos puntos tratando de ser breves</w:t>
      </w:r>
      <w:r>
        <w:t xml:space="preserve"> ya que la idea no es polemizar sino simplemente, en este caso, aclarar e incluso coincidir con algunos de los puntos que se hacen</w:t>
      </w:r>
      <w:r w:rsidR="00A3240D">
        <w:t>.</w:t>
      </w:r>
    </w:p>
    <w:p w:rsidR="00A3240D" w:rsidRPr="0066496C" w:rsidRDefault="0066496C" w:rsidP="0066496C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La C</w:t>
      </w:r>
      <w:r w:rsidR="00A3240D" w:rsidRPr="0066496C">
        <w:rPr>
          <w:i/>
        </w:rPr>
        <w:t>onvertibilidad no tuvo daños colaterales y fue instrumental en las reformas estructurales.</w:t>
      </w:r>
    </w:p>
    <w:p w:rsidR="007F2B79" w:rsidRDefault="00A3240D" w:rsidP="00A3240D">
      <w:r>
        <w:t xml:space="preserve">Los costos </w:t>
      </w:r>
      <w:r w:rsidR="0066496C">
        <w:t xml:space="preserve">de la Convertibilidad </w:t>
      </w:r>
      <w:r>
        <w:t xml:space="preserve">a los que aludo son los de largo plazo, ya que me he convencido de mi trabajo profesional </w:t>
      </w:r>
      <w:r w:rsidR="007F2B79">
        <w:t>(durante los 10 años desde la salida de la Convertibilidad me he dedicado en mi trabajo académico a estudiar el impacto de los regímenes cambiarios sobre la economía</w:t>
      </w:r>
      <w:r w:rsidR="00F521DF">
        <w:rPr>
          <w:rStyle w:val="Refdenotaalfinal"/>
        </w:rPr>
        <w:endnoteReference w:id="1"/>
      </w:r>
      <w:r w:rsidR="007F2B79">
        <w:t xml:space="preserve">) </w:t>
      </w:r>
      <w:r>
        <w:t xml:space="preserve">que países como Argentina, sujetos a cambios en los </w:t>
      </w:r>
      <w:r w:rsidR="0066496C">
        <w:t>términos</w:t>
      </w:r>
      <w:r>
        <w:t xml:space="preserve"> de intercambio y </w:t>
      </w:r>
      <w:r w:rsidR="007F2B79">
        <w:t xml:space="preserve">en los flujos de capitales estarían </w:t>
      </w:r>
      <w:r>
        <w:t>mejor con tipo de cambio</w:t>
      </w:r>
      <w:r w:rsidR="007F2B79">
        <w:t>s</w:t>
      </w:r>
      <w:r>
        <w:t xml:space="preserve"> flotantes. Creo que Argentina</w:t>
      </w:r>
      <w:r w:rsidR="007F2B79">
        <w:t xml:space="preserve">, de hecho </w:t>
      </w:r>
      <w:r>
        <w:t>es un</w:t>
      </w:r>
      <w:r w:rsidR="007F2B79">
        <w:t xml:space="preserve"> buen </w:t>
      </w:r>
      <w:r>
        <w:t xml:space="preserve"> ejemplo </w:t>
      </w:r>
      <w:r w:rsidR="007F2B79">
        <w:t xml:space="preserve">para </w:t>
      </w:r>
      <w:r w:rsidR="0066496C">
        <w:t xml:space="preserve">justificar </w:t>
      </w:r>
      <w:r w:rsidR="007F2B79">
        <w:t>esa recomendación</w:t>
      </w:r>
      <w:r>
        <w:t xml:space="preserve">. </w:t>
      </w:r>
    </w:p>
    <w:p w:rsidR="0066496C" w:rsidRDefault="0066496C" w:rsidP="00A3240D">
      <w:r>
        <w:t xml:space="preserve">Por otra parte </w:t>
      </w:r>
      <w:r w:rsidR="007F2B79">
        <w:t xml:space="preserve">sabemos que </w:t>
      </w:r>
      <w:r w:rsidR="00A3240D">
        <w:t xml:space="preserve">hacer una “estabilización basada en el tipo de cambio” genera un boom inicial </w:t>
      </w:r>
      <w:r w:rsidR="007F2B79">
        <w:t xml:space="preserve">de consumo y actividad y me parece muy bueno el punto </w:t>
      </w:r>
      <w:r w:rsidR="00A3240D">
        <w:t xml:space="preserve">que </w:t>
      </w:r>
      <w:r>
        <w:t xml:space="preserve">eso </w:t>
      </w:r>
      <w:r w:rsidR="00A3240D">
        <w:t xml:space="preserve">ayuda </w:t>
      </w:r>
      <w:r w:rsidR="007F2B79">
        <w:t xml:space="preserve">(en el caso de </w:t>
      </w:r>
      <w:r>
        <w:t>A</w:t>
      </w:r>
      <w:r w:rsidR="007F2B79">
        <w:t xml:space="preserve">rgentina ayudó) </w:t>
      </w:r>
      <w:r w:rsidR="00A3240D">
        <w:t>a consolidar las reformas</w:t>
      </w:r>
      <w:r>
        <w:t xml:space="preserve"> que se estaban implementando en ese momento</w:t>
      </w:r>
      <w:r w:rsidR="00A3240D">
        <w:t>. Es un punto que quizás no enfatizo lo suficiente.</w:t>
      </w:r>
      <w:r w:rsidR="007F2B79">
        <w:t xml:space="preserve"> </w:t>
      </w:r>
    </w:p>
    <w:p w:rsidR="00A3240D" w:rsidRDefault="007F2B79" w:rsidP="00A3240D">
      <w:r>
        <w:t>También coincido que un país solo puede crecer y ordenarse sin inflación. Lamento si la lectura permite una interpretación diferente</w:t>
      </w:r>
      <w:r w:rsidR="0066496C">
        <w:t>, ya que es algo en lo que creo profundamente</w:t>
      </w:r>
      <w:r>
        <w:t xml:space="preserve">. </w:t>
      </w:r>
    </w:p>
    <w:p w:rsidR="0066496C" w:rsidRDefault="0066496C" w:rsidP="00A3240D"/>
    <w:p w:rsidR="007F2B79" w:rsidRDefault="007F2B79" w:rsidP="00372005">
      <w:pPr>
        <w:pStyle w:val="Prrafodelista"/>
        <w:numPr>
          <w:ilvl w:val="0"/>
          <w:numId w:val="1"/>
        </w:numPr>
      </w:pPr>
      <w:r>
        <w:t>Su posición sobre la convertibilidad</w:t>
      </w:r>
    </w:p>
    <w:p w:rsidR="007F2B79" w:rsidRDefault="007F2B79" w:rsidP="007F2B79">
      <w:pPr>
        <w:pStyle w:val="Prrafodelista"/>
      </w:pPr>
    </w:p>
    <w:p w:rsidR="00691425" w:rsidRDefault="007F2B79" w:rsidP="00691425">
      <w:r>
        <w:t xml:space="preserve">Coincido que el lenguaje quizás </w:t>
      </w:r>
      <w:r w:rsidR="00691425">
        <w:t xml:space="preserve">no es feliz en un sentido técnico pero </w:t>
      </w:r>
      <w:r w:rsidR="0066496C">
        <w:t xml:space="preserve">creo </w:t>
      </w:r>
      <w:r w:rsidR="00691425">
        <w:t>que igual deja el punto claro. De hecho n</w:t>
      </w:r>
      <w:r w:rsidR="00372005">
        <w:t xml:space="preserve">o tenemos diferencias </w:t>
      </w:r>
      <w:r>
        <w:t xml:space="preserve">en </w:t>
      </w:r>
      <w:r w:rsidR="00372005">
        <w:t xml:space="preserve">que los agentes tienen que tener libertad para elegir con que moneda </w:t>
      </w:r>
      <w:proofErr w:type="spellStart"/>
      <w:r w:rsidR="00372005">
        <w:t>transaccionar</w:t>
      </w:r>
      <w:proofErr w:type="spellEnd"/>
      <w:r w:rsidR="00372005">
        <w:t xml:space="preserve"> y que el mercado de cambios debe ser único y libre. </w:t>
      </w:r>
      <w:r w:rsidR="00691425">
        <w:t xml:space="preserve">Creo que a lo largo del libro esto queda claro. </w:t>
      </w:r>
    </w:p>
    <w:p w:rsidR="00372005" w:rsidRDefault="0066496C" w:rsidP="007F2B79">
      <w:r>
        <w:t>Más</w:t>
      </w:r>
      <w:r w:rsidR="00691425">
        <w:t xml:space="preserve"> allá del lenguaje </w:t>
      </w:r>
      <w:r>
        <w:t>entendí</w:t>
      </w:r>
      <w:r w:rsidR="00372005">
        <w:t xml:space="preserve"> que era importante comentar que Cavallo era la única persona en el gobierno </w:t>
      </w:r>
      <w:r>
        <w:t xml:space="preserve">de aquel año </w:t>
      </w:r>
      <w:r w:rsidR="00372005">
        <w:t xml:space="preserve">que tuvo la capacidad de pensar una salida alternativa para la situación que </w:t>
      </w:r>
      <w:r w:rsidR="00372005">
        <w:lastRenderedPageBreak/>
        <w:t xml:space="preserve">vivía Argentina. </w:t>
      </w:r>
      <w:r w:rsidR="00691425">
        <w:t xml:space="preserve">Mirando en perspectiva me doy cuenta que hay que tener mucha valentía para pensar </w:t>
      </w:r>
      <w:r>
        <w:t xml:space="preserve">con esa libertad de criterio, </w:t>
      </w:r>
      <w:r w:rsidR="00691425">
        <w:t xml:space="preserve"> y como la gente lo asocia a Cavallo con la Convertibilidad, me pareció importante destacar que cuando era necesario un cambio, solo </w:t>
      </w:r>
      <w:r>
        <w:t>é</w:t>
      </w:r>
      <w:r w:rsidR="00691425">
        <w:t>l, de su equipo</w:t>
      </w:r>
      <w:r>
        <w:t>,</w:t>
      </w:r>
      <w:r w:rsidR="00691425">
        <w:t xml:space="preserve"> estaba dispuesto a permitirse la posibilidad de pensarlo. </w:t>
      </w:r>
    </w:p>
    <w:p w:rsidR="00372005" w:rsidRDefault="00372005" w:rsidP="00372005">
      <w:pPr>
        <w:pStyle w:val="Prrafodelista"/>
      </w:pPr>
    </w:p>
    <w:p w:rsidR="00691425" w:rsidRDefault="00691425" w:rsidP="00372005">
      <w:pPr>
        <w:pStyle w:val="Prrafodelista"/>
        <w:numPr>
          <w:ilvl w:val="0"/>
          <w:numId w:val="1"/>
        </w:numPr>
      </w:pPr>
      <w:r>
        <w:t>Porque la devaluación del 2002 fue enorme</w:t>
      </w:r>
    </w:p>
    <w:p w:rsidR="00691425" w:rsidRDefault="00691425" w:rsidP="00691425">
      <w:pPr>
        <w:pStyle w:val="Prrafodelista"/>
      </w:pPr>
    </w:p>
    <w:p w:rsidR="00691425" w:rsidRDefault="00372005" w:rsidP="00691425">
      <w:r>
        <w:t xml:space="preserve">La devaluación produjo un efecto pronunciado sobre las hojas de balances de todos los actores económicos. El sistema estaba armado así justamente para crear los incentivos a no devaluar. </w:t>
      </w:r>
      <w:r w:rsidR="00691425">
        <w:t>Por ello l</w:t>
      </w:r>
      <w:r>
        <w:t xml:space="preserve">a devaluación produjo una demanda muy grande para </w:t>
      </w:r>
      <w:proofErr w:type="spellStart"/>
      <w:r>
        <w:t>pesificar</w:t>
      </w:r>
      <w:proofErr w:type="spellEnd"/>
      <w:r>
        <w:t xml:space="preserve">. </w:t>
      </w:r>
      <w:r w:rsidR="00691425">
        <w:t xml:space="preserve">Con lo cual </w:t>
      </w:r>
      <w:r w:rsidR="0066496C">
        <w:t xml:space="preserve">sigo convencido que </w:t>
      </w:r>
      <w:r w:rsidR="00691425">
        <w:t xml:space="preserve">hay una causalidad </w:t>
      </w:r>
      <w:r w:rsidR="0066496C">
        <w:t xml:space="preserve">relevante </w:t>
      </w:r>
      <w:r w:rsidR="00691425">
        <w:t xml:space="preserve">de la devaluación a la pesificación. De hecho, evidencia anecdótica confirma esta relación causal. </w:t>
      </w:r>
    </w:p>
    <w:p w:rsidR="0066496C" w:rsidRDefault="00691425" w:rsidP="00691425">
      <w:r>
        <w:t>La devaluación fue muy importante porque las expectativas de emisión monetaria (presentes y futuras) eran muy importantes</w:t>
      </w:r>
      <w:r w:rsidR="0066496C">
        <w:t>, e</w:t>
      </w:r>
      <w:r>
        <w:t xml:space="preserve">n gran medida por el déficit fiscal, </w:t>
      </w:r>
      <w:r w:rsidR="0066496C">
        <w:t xml:space="preserve">y por </w:t>
      </w:r>
      <w:r>
        <w:t xml:space="preserve">una situación económica que volvió a contraerse en el primer trimestre. </w:t>
      </w:r>
    </w:p>
    <w:p w:rsidR="00372005" w:rsidRDefault="00691425" w:rsidP="00691425">
      <w:r>
        <w:t xml:space="preserve">Esto, no </w:t>
      </w:r>
      <w:r w:rsidR="0066496C">
        <w:t xml:space="preserve">es contradictorio con que </w:t>
      </w:r>
      <w:r w:rsidR="00372005">
        <w:t>el impulso monetario que produjo la propia pesificación tuv</w:t>
      </w:r>
      <w:r w:rsidR="0066496C">
        <w:t>iera</w:t>
      </w:r>
      <w:r w:rsidR="00372005">
        <w:t xml:space="preserve"> un efecto inflacionario y </w:t>
      </w:r>
      <w:r>
        <w:t>también permiti</w:t>
      </w:r>
      <w:r w:rsidR="0066496C">
        <w:t>era eventualmente s</w:t>
      </w:r>
      <w:r>
        <w:t xml:space="preserve">ostener una </w:t>
      </w:r>
      <w:r w:rsidR="00372005">
        <w:t xml:space="preserve">mayor devaluación. </w:t>
      </w:r>
      <w:r>
        <w:t xml:space="preserve">Pero asignar la  magnitud de la devaluación a la pesificación me parecería exagerado. </w:t>
      </w:r>
    </w:p>
    <w:p w:rsidR="00372005" w:rsidRDefault="00372005" w:rsidP="00372005">
      <w:pPr>
        <w:pStyle w:val="Prrafodelista"/>
      </w:pPr>
    </w:p>
    <w:p w:rsidR="00691425" w:rsidRDefault="00691425" w:rsidP="00372005">
      <w:pPr>
        <w:pStyle w:val="Prrafodelista"/>
        <w:numPr>
          <w:ilvl w:val="0"/>
          <w:numId w:val="1"/>
        </w:numPr>
        <w:jc w:val="both"/>
      </w:pPr>
      <w:r>
        <w:t xml:space="preserve">Sobre la consecuencia reactivadora de la pesificación asimétrica. </w:t>
      </w:r>
    </w:p>
    <w:p w:rsidR="00691425" w:rsidRDefault="00691425" w:rsidP="00691425">
      <w:pPr>
        <w:pStyle w:val="Prrafodelista"/>
        <w:jc w:val="both"/>
      </w:pPr>
    </w:p>
    <w:p w:rsidR="0066496C" w:rsidRDefault="00B91205" w:rsidP="00691425">
      <w:pPr>
        <w:jc w:val="both"/>
      </w:pPr>
      <w:r>
        <w:t>La descripción que hago del 2002 y de la rápida recuperación es certera. De hecho e</w:t>
      </w:r>
      <w:r w:rsidR="00372005">
        <w:t xml:space="preserve">l PBI trimestre contra trimestre </w:t>
      </w:r>
      <w:r>
        <w:t>(</w:t>
      </w:r>
      <w:proofErr w:type="spellStart"/>
      <w:r>
        <w:t>desestacionalizado</w:t>
      </w:r>
      <w:proofErr w:type="spellEnd"/>
      <w:r>
        <w:t xml:space="preserve">) </w:t>
      </w:r>
      <w:r w:rsidR="00372005">
        <w:t xml:space="preserve">empezó a recuperarse en el segundo </w:t>
      </w:r>
      <w:r w:rsidR="00055C59">
        <w:t xml:space="preserve">trimestre. </w:t>
      </w:r>
      <w:r>
        <w:t>De hecho e</w:t>
      </w:r>
      <w:r w:rsidR="00055C59">
        <w:t>s sorprendente lo rápido que vino la recuperación. Ya en el segundo trimestre registró una suba de 0.42, y siguió positivo a partir de allí. El dato interanual siguió siendo negativo hasta f</w:t>
      </w:r>
      <w:r>
        <w:t>in</w:t>
      </w:r>
      <w:r w:rsidR="00055C59">
        <w:t xml:space="preserve"> de año por un tema de arrastre</w:t>
      </w:r>
      <w:r w:rsidR="00F521DF">
        <w:t xml:space="preserve"> estadístico y no me parece la mejor medida parar entender lo que estaba ocurriendo con la economía durante el año</w:t>
      </w:r>
      <w:r w:rsidR="00055C59">
        <w:t xml:space="preserve">. </w:t>
      </w:r>
    </w:p>
    <w:p w:rsidR="00F521DF" w:rsidRDefault="00055C59" w:rsidP="00691425">
      <w:pPr>
        <w:jc w:val="both"/>
      </w:pPr>
      <w:r>
        <w:t>L</w:t>
      </w:r>
      <w:r w:rsidR="0066496C">
        <w:t xml:space="preserve">a mejora también se da en </w:t>
      </w:r>
      <w:r>
        <w:t>lo fiscal. Es cierto  que las retenciones ayudaron mucho, pero en mayo IVA y en julio ganancias ya mostraron mejoras interanuales. El resultado fue que en mayo el superávit primario mostró números positivos y siguió as</w:t>
      </w:r>
      <w:r w:rsidR="0066496C">
        <w:t>í</w:t>
      </w:r>
      <w:r>
        <w:t xml:space="preserve"> </w:t>
      </w:r>
      <w:r w:rsidR="00B91205">
        <w:t>a partir de allí.</w:t>
      </w:r>
      <w:r>
        <w:t xml:space="preserve"> La mejora fue muy evidente y de eso hablo en el texto. </w:t>
      </w:r>
    </w:p>
    <w:p w:rsidR="00372005" w:rsidRDefault="00372005" w:rsidP="00691425">
      <w:pPr>
        <w:jc w:val="both"/>
      </w:pPr>
      <w:r>
        <w:t xml:space="preserve">También </w:t>
      </w:r>
      <w:r w:rsidR="00F521DF">
        <w:t xml:space="preserve">se recuperó </w:t>
      </w:r>
      <w:r>
        <w:t xml:space="preserve">la demanda laboral, cosa que recuerdo bien, porque justamente lanzamos la estadística </w:t>
      </w:r>
      <w:r w:rsidR="00055C59">
        <w:t xml:space="preserve">en la Di Tella </w:t>
      </w:r>
      <w:r w:rsidR="00B91205">
        <w:t xml:space="preserve">y recuerdo </w:t>
      </w:r>
      <w:r w:rsidR="00F521DF">
        <w:t>el</w:t>
      </w:r>
      <w:r w:rsidR="00B91205">
        <w:t xml:space="preserve"> formidable </w:t>
      </w:r>
      <w:r w:rsidR="00F521DF">
        <w:t xml:space="preserve">crecimiento </w:t>
      </w:r>
      <w:r w:rsidR="00B91205">
        <w:t>en la demanda de empleo</w:t>
      </w:r>
      <w:r w:rsidR="002C097E">
        <w:t xml:space="preserve"> </w:t>
      </w:r>
      <w:r w:rsidR="0066496C">
        <w:t xml:space="preserve">que comenzó en </w:t>
      </w:r>
      <w:r w:rsidR="002C097E">
        <w:t>abril</w:t>
      </w:r>
      <w:r w:rsidR="00B91205">
        <w:t xml:space="preserve">. </w:t>
      </w:r>
      <w:r w:rsidR="002C097E">
        <w:t xml:space="preserve">A mi entender esto correctamente describe </w:t>
      </w:r>
      <w:r w:rsidR="0066496C">
        <w:t>“</w:t>
      </w:r>
      <w:r w:rsidR="002C097E">
        <w:t>un</w:t>
      </w:r>
      <w:r w:rsidR="0066496C">
        <w:t>a</w:t>
      </w:r>
      <w:r w:rsidR="002C097E">
        <w:t xml:space="preserve"> inmediata recuperación</w:t>
      </w:r>
      <w:r w:rsidR="0066496C">
        <w:t>”</w:t>
      </w:r>
      <w:r w:rsidR="002C097E">
        <w:t xml:space="preserve">. </w:t>
      </w:r>
      <w:r w:rsidR="00055C59">
        <w:t xml:space="preserve"> </w:t>
      </w:r>
    </w:p>
    <w:p w:rsidR="007F2B79" w:rsidRDefault="002C097E" w:rsidP="002C097E">
      <w:pPr>
        <w:pStyle w:val="Prrafodelista"/>
        <w:ind w:left="0"/>
      </w:pPr>
      <w:r>
        <w:t>También es correcto el número de emisión. Solo ha</w:t>
      </w:r>
      <w:r w:rsidR="0066496C">
        <w:t xml:space="preserve">bría </w:t>
      </w:r>
      <w:r>
        <w:t>que clarificar que se refier</w:t>
      </w:r>
      <w:r w:rsidR="0066496C">
        <w:t xml:space="preserve">e </w:t>
      </w:r>
      <w:r>
        <w:t xml:space="preserve">al 1er semestre del 2002 comparado con el 1er semestre del 2001. </w:t>
      </w:r>
    </w:p>
    <w:p w:rsidR="007F2B79" w:rsidRDefault="0066496C" w:rsidP="007F2B79">
      <w:pPr>
        <w:jc w:val="both"/>
      </w:pPr>
      <w:r>
        <w:lastRenderedPageBreak/>
        <w:t>E</w:t>
      </w:r>
      <w:r w:rsidR="002C097E">
        <w:t>l tipo de cambio es una variable que condensa la</w:t>
      </w:r>
      <w:r>
        <w:t>s expectativas sobre la</w:t>
      </w:r>
      <w:r w:rsidR="002C097E">
        <w:t xml:space="preserve"> política fiscal y monetaria futura</w:t>
      </w:r>
      <w:r>
        <w:t xml:space="preserve">. Por ello </w:t>
      </w:r>
      <w:r w:rsidR="002C097E">
        <w:t xml:space="preserve">la aparición de un superávit a partir de mayo tuvo un efecto de contención de esas expectativas clave </w:t>
      </w:r>
      <w:r>
        <w:t xml:space="preserve">y fulminante </w:t>
      </w:r>
      <w:r w:rsidR="002C097E">
        <w:t>(</w:t>
      </w:r>
      <w:r>
        <w:t xml:space="preserve">un proceso similar </w:t>
      </w:r>
      <w:r w:rsidR="002C097E">
        <w:t xml:space="preserve">también </w:t>
      </w:r>
      <w:r w:rsidR="00670998">
        <w:t xml:space="preserve">se dio </w:t>
      </w:r>
      <w:r w:rsidR="002C097E">
        <w:t xml:space="preserve">en los inicios de la Convertibilidad). </w:t>
      </w:r>
    </w:p>
    <w:p w:rsidR="007F2B79" w:rsidRDefault="002C097E" w:rsidP="007F2B79">
      <w:pPr>
        <w:jc w:val="both"/>
      </w:pPr>
      <w:r>
        <w:t xml:space="preserve">Respecto del impacto de los términos de intercambio no puedo discrepar con el comentario. Pero mi resistencia a mencionarlo obedece a que aun con términos de intercambio favorables el desequilibrio fiscal puede ser enorme y Argentina </w:t>
      </w:r>
      <w:r w:rsidR="00E065C6">
        <w:t>v</w:t>
      </w:r>
      <w:r>
        <w:t>ivió muchas veces</w:t>
      </w:r>
      <w:r w:rsidR="00E065C6">
        <w:t xml:space="preserve"> situaciones de buenos términos de intercambio y deterioro de la situación fiscal</w:t>
      </w:r>
      <w:r>
        <w:t xml:space="preserve">. </w:t>
      </w:r>
      <w:r w:rsidR="00670998">
        <w:t xml:space="preserve">Por ello </w:t>
      </w:r>
      <w:r>
        <w:t xml:space="preserve">prefiero enfatizar las bondades de la prudencia fiscal, que creo es una lección mucho más importante para la Argentina. </w:t>
      </w:r>
    </w:p>
    <w:p w:rsidR="007F2B79" w:rsidRDefault="007F2B79" w:rsidP="007F2B79">
      <w:pPr>
        <w:jc w:val="both"/>
      </w:pPr>
    </w:p>
    <w:p w:rsidR="002C097E" w:rsidRDefault="002C097E" w:rsidP="002C097E">
      <w:pPr>
        <w:pStyle w:val="Prrafodelista"/>
        <w:numPr>
          <w:ilvl w:val="0"/>
          <w:numId w:val="1"/>
        </w:numPr>
        <w:jc w:val="both"/>
      </w:pPr>
      <w:r>
        <w:t xml:space="preserve">Sobre el aumento del ahorro </w:t>
      </w:r>
      <w:r w:rsidR="00E065C6">
        <w:t>público</w:t>
      </w:r>
      <w:r>
        <w:t>.</w:t>
      </w:r>
    </w:p>
    <w:p w:rsidR="002C097E" w:rsidRDefault="002C097E" w:rsidP="002C097E">
      <w:pPr>
        <w:jc w:val="both"/>
      </w:pPr>
      <w:r>
        <w:t xml:space="preserve">A </w:t>
      </w:r>
      <w:r w:rsidR="00E065C6">
        <w:t>mí</w:t>
      </w:r>
      <w:r>
        <w:t xml:space="preserve"> me parece que es evidente que el aumento en el ahorro </w:t>
      </w:r>
      <w:r w:rsidR="00E065C6">
        <w:t>público</w:t>
      </w:r>
      <w:r>
        <w:t xml:space="preserve"> se produjo. Se puede discutir si los mecanismos usados fueron razonables o sostenibles. Pero un aumento de impuestos</w:t>
      </w:r>
      <w:r w:rsidR="003D4995">
        <w:t>, por ejemplo las retenciones, son</w:t>
      </w:r>
      <w:r>
        <w:t xml:space="preserve"> un aumento de impuestos (no me parece que eso </w:t>
      </w:r>
      <w:r w:rsidR="00E065C6">
        <w:t xml:space="preserve">pueda llamarse un </w:t>
      </w:r>
      <w:r>
        <w:t xml:space="preserve">maquillaje) y la licuación de sueldos públicos y jubilaciones también </w:t>
      </w:r>
      <w:r w:rsidR="003D4995">
        <w:t xml:space="preserve">representan </w:t>
      </w:r>
      <w:r w:rsidR="00332028">
        <w:t>una situación</w:t>
      </w:r>
      <w:r w:rsidR="00E065C6">
        <w:t>,</w:t>
      </w:r>
      <w:r w:rsidR="00332028">
        <w:t xml:space="preserve"> quizás injusta</w:t>
      </w:r>
      <w:r w:rsidR="00E065C6">
        <w:t>,</w:t>
      </w:r>
      <w:r w:rsidR="00670998">
        <w:t xml:space="preserve"> pero de real reducción</w:t>
      </w:r>
      <w:r w:rsidR="00332028">
        <w:t xml:space="preserve"> del gasto</w:t>
      </w:r>
      <w:r w:rsidR="003D4995">
        <w:t xml:space="preserve"> (al menos en el corto plazo)</w:t>
      </w:r>
      <w:r w:rsidR="00332028">
        <w:t xml:space="preserve">. </w:t>
      </w:r>
    </w:p>
    <w:p w:rsidR="00332028" w:rsidRDefault="00332028" w:rsidP="002C097E">
      <w:pPr>
        <w:jc w:val="both"/>
      </w:pPr>
      <w:r>
        <w:t>Yo creo que al futuro gobierno lo que hay que sugerirle es que tiene que tener una situación fiscal sólida. Gestionando bien y sin corrupción sobran los recursos para que el Estado haga todo lo que hace ahora y mejor con un menor costo para el contribuyente.</w:t>
      </w:r>
    </w:p>
    <w:p w:rsidR="00332028" w:rsidRDefault="00332028" w:rsidP="002C097E">
      <w:pPr>
        <w:jc w:val="both"/>
      </w:pPr>
    </w:p>
    <w:p w:rsidR="00332028" w:rsidRDefault="003D4995" w:rsidP="003D4995">
      <w:pPr>
        <w:pStyle w:val="Prrafodelista"/>
        <w:numPr>
          <w:ilvl w:val="0"/>
          <w:numId w:val="1"/>
        </w:numPr>
        <w:jc w:val="both"/>
      </w:pPr>
      <w:r>
        <w:t>Sobre porque la inflación volvió a subir.</w:t>
      </w:r>
    </w:p>
    <w:p w:rsidR="003D4995" w:rsidRDefault="003D4995" w:rsidP="003D4995">
      <w:pPr>
        <w:pStyle w:val="Prrafodelista"/>
        <w:jc w:val="both"/>
      </w:pPr>
    </w:p>
    <w:p w:rsidR="003D4995" w:rsidRDefault="003D4995" w:rsidP="003D4995">
      <w:pPr>
        <w:pStyle w:val="Prrafodelista"/>
        <w:ind w:left="0"/>
        <w:jc w:val="both"/>
      </w:pPr>
      <w:r>
        <w:t xml:space="preserve">Coincido con todo lo que se dice aquí, con lo cual solo puedo lamentarme que la redacción de algunos párrafos permita inferir algo distinto. También es correcto que la apreciación </w:t>
      </w:r>
      <w:r w:rsidR="00670998">
        <w:t xml:space="preserve">real se hubiera dado </w:t>
      </w:r>
      <w:r>
        <w:t>de manera parecida</w:t>
      </w:r>
      <w:r w:rsidR="00670998">
        <w:t>,</w:t>
      </w:r>
      <w:r>
        <w:t xml:space="preserve"> al menos en el mediano plazo</w:t>
      </w:r>
      <w:r w:rsidR="00670998">
        <w:t>,</w:t>
      </w:r>
      <w:r>
        <w:t xml:space="preserve"> indistintamente del régimen cambiario. Pero lo que quiero decir es que justamente no se tomaron medidas para afectar el tipo de cambio real (lo cual se logra</w:t>
      </w:r>
      <w:r w:rsidR="00E065C6">
        <w:t>, no sin dificultad,</w:t>
      </w:r>
      <w:r>
        <w:t xml:space="preserve"> con política de stocks reales como han hecho los chilenos, colombianos o noruegos). </w:t>
      </w:r>
    </w:p>
    <w:p w:rsidR="003D4995" w:rsidRDefault="003D4995" w:rsidP="003D4995">
      <w:pPr>
        <w:pStyle w:val="Prrafodelista"/>
        <w:ind w:left="0"/>
        <w:jc w:val="both"/>
      </w:pPr>
    </w:p>
    <w:p w:rsidR="003D4995" w:rsidRDefault="003D4995" w:rsidP="003D4995">
      <w:pPr>
        <w:pStyle w:val="Prrafodelista"/>
        <w:numPr>
          <w:ilvl w:val="0"/>
          <w:numId w:val="1"/>
        </w:numPr>
        <w:jc w:val="both"/>
      </w:pPr>
      <w:r>
        <w:t xml:space="preserve">Redrado y </w:t>
      </w:r>
      <w:proofErr w:type="spellStart"/>
      <w:r>
        <w:t>Boudou</w:t>
      </w:r>
      <w:proofErr w:type="spellEnd"/>
      <w:r>
        <w:t>.</w:t>
      </w:r>
    </w:p>
    <w:p w:rsidR="003D4995" w:rsidRDefault="003D4995" w:rsidP="003D4995">
      <w:pPr>
        <w:jc w:val="both"/>
      </w:pPr>
      <w:r>
        <w:t xml:space="preserve">Coincido con la interpretación </w:t>
      </w:r>
      <w:r w:rsidR="00670998">
        <w:t xml:space="preserve">sobre las políticas </w:t>
      </w:r>
      <w:r>
        <w:t>de Redrado (sin decir nada dej</w:t>
      </w:r>
      <w:r w:rsidR="00E065C6">
        <w:t>ó</w:t>
      </w:r>
      <w:r>
        <w:t xml:space="preserve"> que operaran los mecanismos de ajuste del tipo de cambio real ante la incertidumbre de la crisis del campo y de </w:t>
      </w:r>
      <w:proofErr w:type="spellStart"/>
      <w:r>
        <w:t>Lehmann</w:t>
      </w:r>
      <w:proofErr w:type="spellEnd"/>
      <w:r>
        <w:t xml:space="preserve">). Y coincido que atentar contra las AFJP no es una manera de estimular </w:t>
      </w:r>
      <w:r w:rsidR="00670998">
        <w:t xml:space="preserve">el ahorro </w:t>
      </w:r>
      <w:r>
        <w:t xml:space="preserve">de largo plazo. </w:t>
      </w:r>
      <w:r w:rsidR="00E065C6">
        <w:t>También</w:t>
      </w:r>
      <w:r>
        <w:t xml:space="preserve"> coincido que </w:t>
      </w:r>
      <w:r w:rsidR="00E065C6">
        <w:t xml:space="preserve">esa decisión </w:t>
      </w:r>
      <w:r>
        <w:t>abrió las puertas para un aumento del gasto que, lamentablemente, tiene componentes muy ineficientes y hoy representa un lastre para la economía. Pero la estatización de las AFJP s</w:t>
      </w:r>
      <w:r w:rsidR="00E065C6">
        <w:t>í</w:t>
      </w:r>
      <w:r>
        <w:t xml:space="preserve"> mejor</w:t>
      </w:r>
      <w:r w:rsidR="00670998">
        <w:t>ó</w:t>
      </w:r>
      <w:r>
        <w:t xml:space="preserve"> el flujo de caja del gobierno en el corto plazo, porque tom</w:t>
      </w:r>
      <w:r w:rsidR="00670998">
        <w:t>ó</w:t>
      </w:r>
      <w:r>
        <w:t xml:space="preserve"> los recursos y asumió un pasivo</w:t>
      </w:r>
      <w:r w:rsidR="00E065C6">
        <w:t xml:space="preserve">, pero un pasivo </w:t>
      </w:r>
      <w:r>
        <w:t xml:space="preserve">futuro. </w:t>
      </w:r>
      <w:r w:rsidR="00397C15">
        <w:t xml:space="preserve">Mi comentario sobre este </w:t>
      </w:r>
      <w:r w:rsidR="00397C15">
        <w:lastRenderedPageBreak/>
        <w:t>tema no es si esto estaba bien o mal, sino si le dio márgenes de acción a la política económica: y se l</w:t>
      </w:r>
      <w:r w:rsidR="00E065C6">
        <w:t>o</w:t>
      </w:r>
      <w:r w:rsidR="00397C15">
        <w:t xml:space="preserve">s </w:t>
      </w:r>
      <w:r w:rsidR="00E065C6">
        <w:t>dio (tanto como la reforma se lo</w:t>
      </w:r>
      <w:r w:rsidR="00397C15">
        <w:t>s sac</w:t>
      </w:r>
      <w:r w:rsidR="00E065C6">
        <w:t>ó</w:t>
      </w:r>
      <w:r w:rsidR="00397C15">
        <w:t xml:space="preserve"> en los 90). </w:t>
      </w:r>
    </w:p>
    <w:p w:rsidR="00397C15" w:rsidRDefault="00397C15" w:rsidP="003D4995">
      <w:pPr>
        <w:jc w:val="both"/>
      </w:pPr>
      <w:r>
        <w:t xml:space="preserve">Donde </w:t>
      </w:r>
      <w:r w:rsidR="00E065C6">
        <w:t>sí</w:t>
      </w:r>
      <w:r>
        <w:t xml:space="preserve"> discrepo es en el tema reservas. Prefiero que bajen reservas para bajar deuda, a que las reservas bajen para financiar </w:t>
      </w:r>
      <w:r w:rsidR="00670998">
        <w:t xml:space="preserve">un </w:t>
      </w:r>
      <w:r>
        <w:t>gasto</w:t>
      </w:r>
      <w:r w:rsidR="00670998">
        <w:t xml:space="preserve"> que el </w:t>
      </w:r>
      <w:proofErr w:type="spellStart"/>
      <w:r w:rsidR="00670998">
        <w:t>Kirchnerismo</w:t>
      </w:r>
      <w:proofErr w:type="spellEnd"/>
      <w:r w:rsidR="00670998">
        <w:t>, sabíamos no sabría gestionar</w:t>
      </w:r>
      <w:r>
        <w:t xml:space="preserve">. Y como la tendencia al gasto excesivo </w:t>
      </w:r>
      <w:r w:rsidR="00E065C6">
        <w:t xml:space="preserve">y clientelar </w:t>
      </w:r>
      <w:r>
        <w:t xml:space="preserve">ya se veía venir, </w:t>
      </w:r>
      <w:r w:rsidR="00E065C6">
        <w:t>bajar deuda e</w:t>
      </w:r>
      <w:r w:rsidR="00670998">
        <w:t>ra</w:t>
      </w:r>
      <w:r w:rsidR="00E065C6">
        <w:t xml:space="preserve"> una de las mejores </w:t>
      </w:r>
      <w:r w:rsidR="00670998">
        <w:t xml:space="preserve">opciones en </w:t>
      </w:r>
      <w:r w:rsidR="00E065C6">
        <w:t>las que se podía</w:t>
      </w:r>
      <w:r w:rsidR="00670998">
        <w:t>n</w:t>
      </w:r>
      <w:r w:rsidR="00E065C6">
        <w:t xml:space="preserve"> aplicar esos recursos.</w:t>
      </w:r>
      <w:r>
        <w:t xml:space="preserve"> </w:t>
      </w:r>
      <w:r w:rsidR="00E065C6">
        <w:t>Pero</w:t>
      </w:r>
      <w:r>
        <w:t xml:space="preserve"> también, definitivamente</w:t>
      </w:r>
      <w:r w:rsidR="00E065C6">
        <w:t>,</w:t>
      </w:r>
      <w:r>
        <w:t xml:space="preserve"> amplió los márgenes de política económica en el corto plazo. </w:t>
      </w:r>
    </w:p>
    <w:p w:rsidR="00397C15" w:rsidRDefault="00397C15" w:rsidP="003D4995">
      <w:pPr>
        <w:jc w:val="both"/>
      </w:pPr>
    </w:p>
    <w:p w:rsidR="00397C15" w:rsidRDefault="00397C15" w:rsidP="00397C15">
      <w:pPr>
        <w:pStyle w:val="Prrafodelista"/>
        <w:numPr>
          <w:ilvl w:val="0"/>
          <w:numId w:val="1"/>
        </w:numPr>
        <w:jc w:val="both"/>
      </w:pPr>
      <w:r>
        <w:t>Por</w:t>
      </w:r>
      <w:r w:rsidR="00670998">
        <w:t xml:space="preserve"> </w:t>
      </w:r>
      <w:r>
        <w:t>qu</w:t>
      </w:r>
      <w:r w:rsidR="00670998">
        <w:t>é</w:t>
      </w:r>
      <w:r>
        <w:t xml:space="preserve"> Cristina tom</w:t>
      </w:r>
      <w:r w:rsidR="00670998">
        <w:t>ó</w:t>
      </w:r>
      <w:r>
        <w:t xml:space="preserve"> ese rumbo</w:t>
      </w:r>
      <w:proofErr w:type="gramStart"/>
      <w:r w:rsidR="00670998">
        <w:t>?</w:t>
      </w:r>
      <w:proofErr w:type="gramEnd"/>
    </w:p>
    <w:p w:rsidR="00397C15" w:rsidRDefault="00E065C6" w:rsidP="00397C15">
      <w:pPr>
        <w:jc w:val="both"/>
      </w:pPr>
      <w:r>
        <w:t>Acá</w:t>
      </w:r>
      <w:r w:rsidR="00397C15">
        <w:t xml:space="preserve"> la pregunta específicamente es por</w:t>
      </w:r>
      <w:r w:rsidR="00670998">
        <w:t xml:space="preserve"> </w:t>
      </w:r>
      <w:r w:rsidR="00397C15">
        <w:t>qu</w:t>
      </w:r>
      <w:r w:rsidR="00670998">
        <w:t>é</w:t>
      </w:r>
      <w:r w:rsidR="00397C15">
        <w:t xml:space="preserve"> dejó apreciar el tipo de cambio. Mi investigación </w:t>
      </w:r>
      <w:r>
        <w:t>académica</w:t>
      </w:r>
      <w:r w:rsidR="00397C15">
        <w:t xml:space="preserve"> de los últimos años me ha convencido que es mejor tener un tipo de cambio competitivo por sus efectos positivos sobre el ahorro</w:t>
      </w:r>
      <w:r>
        <w:t>,</w:t>
      </w:r>
      <w:r w:rsidR="00397C15">
        <w:t xml:space="preserve"> la inversión</w:t>
      </w:r>
      <w:r>
        <w:t xml:space="preserve"> y el empleo</w:t>
      </w:r>
      <w:r w:rsidR="00F521DF">
        <w:rPr>
          <w:rStyle w:val="Refdenotaalfinal"/>
        </w:rPr>
        <w:endnoteReference w:id="2"/>
      </w:r>
      <w:r w:rsidR="00397C15">
        <w:t xml:space="preserve">. </w:t>
      </w:r>
    </w:p>
    <w:p w:rsidR="00397C15" w:rsidRDefault="00397C15" w:rsidP="00397C15">
      <w:pPr>
        <w:jc w:val="both"/>
      </w:pPr>
      <w:r>
        <w:t>No es difícil entender porque Cristina se encandil</w:t>
      </w:r>
      <w:r w:rsidR="00E065C6">
        <w:t>ó</w:t>
      </w:r>
      <w:r>
        <w:t xml:space="preserve"> con el aumento del gasto que le dio </w:t>
      </w:r>
      <w:r w:rsidR="00E065C6">
        <w:t>réditos</w:t>
      </w:r>
      <w:r>
        <w:t xml:space="preserve"> políticos en el corto plazo a costa de problemas </w:t>
      </w:r>
      <w:r w:rsidR="00E065C6">
        <w:t>más</w:t>
      </w:r>
      <w:r>
        <w:t xml:space="preserve"> adelante. Pero si podría haber tomado medidas para </w:t>
      </w:r>
      <w:r w:rsidR="00E065C6">
        <w:t>contrarrestar</w:t>
      </w:r>
      <w:r>
        <w:t xml:space="preserve"> la apreciación del tipo de cambio: restricción a la entrada de capitales, inversión de fondos previsionales en el exterior, etc. que hubieran moderado la apreciación real. Yo creo fue un error</w:t>
      </w:r>
      <w:r w:rsidR="00670998">
        <w:t xml:space="preserve"> no hacer esto</w:t>
      </w:r>
      <w:r>
        <w:t>, aun ent</w:t>
      </w:r>
      <w:r w:rsidR="00E065C6">
        <w:t xml:space="preserve">endiendo </w:t>
      </w:r>
      <w:r>
        <w:t>que no es tan fácil controlar el tipo de cambio real. De hecho</w:t>
      </w:r>
      <w:r w:rsidR="00670998">
        <w:t>,</w:t>
      </w:r>
      <w:r>
        <w:t xml:space="preserve"> creo que va a ser el problema más acuciante y difícil de resolver para el próximo gobierno. </w:t>
      </w:r>
    </w:p>
    <w:p w:rsidR="00B91205" w:rsidRDefault="00670998" w:rsidP="00397C15">
      <w:pPr>
        <w:jc w:val="both"/>
      </w:pPr>
      <w:r>
        <w:t>Finalmente, e</w:t>
      </w:r>
      <w:r w:rsidR="00397C15">
        <w:t xml:space="preserve">s correcto </w:t>
      </w:r>
      <w:r w:rsidR="007F2B79">
        <w:t xml:space="preserve">decir que el tipo de cambio real (bilateral con los EEUU para ser más precisos) </w:t>
      </w:r>
      <w:r w:rsidR="00397C15">
        <w:t xml:space="preserve">haya vuelto </w:t>
      </w:r>
      <w:r w:rsidR="007F2B79">
        <w:t xml:space="preserve">a los niveles de la Convertibilidad </w:t>
      </w:r>
      <w:r w:rsidR="00397C15">
        <w:t xml:space="preserve">no </w:t>
      </w:r>
      <w:r w:rsidR="007F2B79">
        <w:t xml:space="preserve">representaba </w:t>
      </w:r>
      <w:r w:rsidR="00397C15">
        <w:t xml:space="preserve">necesariamente </w:t>
      </w:r>
      <w:r w:rsidR="007F2B79">
        <w:t>un atraso cambiario</w:t>
      </w:r>
      <w:r w:rsidR="00397C15">
        <w:t xml:space="preserve"> </w:t>
      </w:r>
      <w:r w:rsidR="007F2B79">
        <w:t>si se</w:t>
      </w:r>
      <w:bookmarkStart w:id="0" w:name="_GoBack"/>
      <w:bookmarkEnd w:id="0"/>
      <w:r w:rsidR="007F2B79">
        <w:t xml:space="preserve"> toma en cuenta la mejora en los términos de intercambio (entre otros fenómenos). </w:t>
      </w:r>
      <w:r w:rsidR="00397C15">
        <w:t xml:space="preserve">Pero también es </w:t>
      </w:r>
      <w:r w:rsidR="007F2B79">
        <w:t xml:space="preserve">cierto que el tipo de cambio </w:t>
      </w:r>
      <w:r w:rsidR="00397C15">
        <w:t>estaba sobrevaluado en 2011, lo que se demuestra con las restricciones que el g</w:t>
      </w:r>
      <w:r w:rsidR="007F2B79">
        <w:t xml:space="preserve">obierno se vio obligado a poner restricciones para su compra para mantenerlo en esos valores. </w:t>
      </w:r>
    </w:p>
    <w:sectPr w:rsidR="00B9120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C9" w:rsidRDefault="009A47C9" w:rsidP="00F521DF">
      <w:pPr>
        <w:spacing w:after="0" w:line="240" w:lineRule="auto"/>
      </w:pPr>
      <w:r>
        <w:separator/>
      </w:r>
    </w:p>
  </w:endnote>
  <w:endnote w:type="continuationSeparator" w:id="0">
    <w:p w:rsidR="009A47C9" w:rsidRDefault="009A47C9" w:rsidP="00F521DF">
      <w:pPr>
        <w:spacing w:after="0" w:line="240" w:lineRule="auto"/>
      </w:pPr>
      <w:r>
        <w:continuationSeparator/>
      </w:r>
    </w:p>
  </w:endnote>
  <w:endnote w:id="1">
    <w:p w:rsidR="00F521DF" w:rsidRPr="00F521DF" w:rsidRDefault="00F521DF">
      <w:pPr>
        <w:pStyle w:val="Textonotaalfinal"/>
        <w:rPr>
          <w:lang w:val="en-US"/>
        </w:rPr>
      </w:pPr>
      <w:r>
        <w:rPr>
          <w:rStyle w:val="Refdenotaalfinal"/>
        </w:rPr>
        <w:endnoteRef/>
      </w:r>
      <w:r w:rsidRPr="00F521DF">
        <w:t xml:space="preserve"> </w:t>
      </w:r>
      <w:hyperlink r:id="rId1" w:tgtFrame="_blank" w:history="1">
        <w:proofErr w:type="spellStart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>Classifying</w:t>
        </w:r>
        <w:proofErr w:type="spellEnd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 xml:space="preserve"> Exchange </w:t>
        </w:r>
        <w:proofErr w:type="spellStart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>Rate</w:t>
        </w:r>
        <w:proofErr w:type="spellEnd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 xml:space="preserve"> </w:t>
        </w:r>
        <w:proofErr w:type="spellStart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>Regimes</w:t>
        </w:r>
        <w:proofErr w:type="spellEnd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 xml:space="preserve">: </w:t>
        </w:r>
        <w:proofErr w:type="spellStart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>Deeds</w:t>
        </w:r>
        <w:proofErr w:type="spellEnd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 xml:space="preserve"> vs. </w:t>
        </w:r>
        <w:proofErr w:type="spellStart"/>
        <w:r w:rsidRPr="00F521DF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>Words</w:t>
        </w:r>
        <w:proofErr w:type="spellEnd"/>
      </w:hyperlink>
      <w:r w:rsidRPr="00F521DF">
        <w:rPr>
          <w:rFonts w:eastAsia="Times New Roman" w:cs="Segoe UI"/>
          <w:bCs/>
          <w:color w:val="333333"/>
          <w:sz w:val="22"/>
          <w:szCs w:val="22"/>
          <w:lang w:eastAsia="es-AR"/>
        </w:rPr>
        <w:t xml:space="preserve">, </w:t>
      </w:r>
      <w:proofErr w:type="spellStart"/>
      <w:r w:rsidRPr="00F521DF">
        <w:rPr>
          <w:rFonts w:eastAsia="Times New Roman" w:cs="Segoe UI"/>
          <w:bCs/>
          <w:i/>
          <w:iCs/>
          <w:color w:val="333333"/>
          <w:sz w:val="22"/>
          <w:szCs w:val="22"/>
          <w:lang w:eastAsia="es-AR"/>
        </w:rPr>
        <w:t>European</w:t>
      </w:r>
      <w:proofErr w:type="spellEnd"/>
      <w:r w:rsidRPr="00F521DF">
        <w:rPr>
          <w:rFonts w:eastAsia="Times New Roman" w:cs="Segoe UI"/>
          <w:bCs/>
          <w:i/>
          <w:iCs/>
          <w:color w:val="333333"/>
          <w:sz w:val="22"/>
          <w:szCs w:val="22"/>
          <w:lang w:eastAsia="es-AR"/>
        </w:rPr>
        <w:t xml:space="preserve"> </w:t>
      </w:r>
      <w:proofErr w:type="spellStart"/>
      <w:r w:rsidRPr="00F521DF">
        <w:rPr>
          <w:rFonts w:eastAsia="Times New Roman" w:cs="Segoe UI"/>
          <w:bCs/>
          <w:i/>
          <w:iCs/>
          <w:color w:val="333333"/>
          <w:sz w:val="22"/>
          <w:szCs w:val="22"/>
          <w:lang w:eastAsia="es-AR"/>
        </w:rPr>
        <w:t>Economic</w:t>
      </w:r>
      <w:proofErr w:type="spellEnd"/>
      <w:r w:rsidRPr="00F521DF">
        <w:rPr>
          <w:rFonts w:eastAsia="Times New Roman" w:cs="Segoe UI"/>
          <w:bCs/>
          <w:i/>
          <w:iCs/>
          <w:color w:val="333333"/>
          <w:sz w:val="22"/>
          <w:szCs w:val="22"/>
          <w:lang w:eastAsia="es-AR"/>
        </w:rPr>
        <w:t xml:space="preserve"> </w:t>
      </w:r>
      <w:proofErr w:type="spellStart"/>
      <w:r w:rsidRPr="00F521DF">
        <w:rPr>
          <w:rFonts w:eastAsia="Times New Roman" w:cs="Segoe UI"/>
          <w:bCs/>
          <w:i/>
          <w:iCs/>
          <w:color w:val="333333"/>
          <w:sz w:val="22"/>
          <w:szCs w:val="22"/>
          <w:lang w:eastAsia="es-AR"/>
        </w:rPr>
        <w:t>Review</w:t>
      </w:r>
      <w:proofErr w:type="spellEnd"/>
      <w:r w:rsidRPr="00A04318">
        <w:rPr>
          <w:rFonts w:eastAsia="Times New Roman" w:cs="Segoe UI"/>
          <w:color w:val="333333"/>
          <w:sz w:val="22"/>
          <w:szCs w:val="22"/>
          <w:lang w:eastAsia="es-AR"/>
        </w:rPr>
        <w:t>, Vol. 49, pp. 1603-1635, 2005 (</w:t>
      </w:r>
      <w:r>
        <w:rPr>
          <w:rFonts w:eastAsia="Times New Roman" w:cs="Segoe UI"/>
          <w:color w:val="333333"/>
          <w:sz w:val="22"/>
          <w:szCs w:val="22"/>
          <w:lang w:eastAsia="es-AR"/>
        </w:rPr>
        <w:t xml:space="preserve">con </w:t>
      </w:r>
      <w:r w:rsidRPr="00F521DF">
        <w:rPr>
          <w:rFonts w:eastAsia="Times New Roman" w:cs="Segoe UI"/>
          <w:color w:val="333333"/>
          <w:sz w:val="22"/>
          <w:szCs w:val="22"/>
          <w:lang w:eastAsia="es-AR"/>
        </w:rPr>
        <w:t xml:space="preserve">Eduardo Levy </w:t>
      </w:r>
      <w:proofErr w:type="spellStart"/>
      <w:r w:rsidRPr="00F521DF">
        <w:rPr>
          <w:rFonts w:eastAsia="Times New Roman" w:cs="Segoe UI"/>
          <w:color w:val="333333"/>
          <w:sz w:val="22"/>
          <w:szCs w:val="22"/>
          <w:lang w:eastAsia="es-AR"/>
        </w:rPr>
        <w:t>Yeyati</w:t>
      </w:r>
      <w:proofErr w:type="spellEnd"/>
      <w:r w:rsidRPr="00F521DF">
        <w:rPr>
          <w:rFonts w:eastAsia="Times New Roman" w:cs="Segoe UI"/>
          <w:color w:val="333333"/>
          <w:sz w:val="22"/>
          <w:szCs w:val="22"/>
          <w:lang w:eastAsia="es-AR"/>
        </w:rPr>
        <w:t xml:space="preserve">),  </w:t>
      </w:r>
      <w:hyperlink r:id="rId2" w:history="1">
        <w:r w:rsidRPr="00A04318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 xml:space="preserve">¿Por qué crecen menos los regímenes de tipo de cambio fijo? El efecto de los </w:t>
        </w:r>
        <w:proofErr w:type="spellStart"/>
        <w:r w:rsidRPr="00A04318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>sudden</w:t>
        </w:r>
        <w:proofErr w:type="spellEnd"/>
        <w:r w:rsidRPr="00A04318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 xml:space="preserve"> </w:t>
        </w:r>
        <w:proofErr w:type="spellStart"/>
        <w:r w:rsidRPr="00A04318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eastAsia="es-AR"/>
          </w:rPr>
          <w:t>stops</w:t>
        </w:r>
        <w:proofErr w:type="spellEnd"/>
      </w:hyperlink>
      <w:r w:rsidRPr="00F521DF">
        <w:rPr>
          <w:rFonts w:eastAsia="Times New Roman" w:cs="Segoe UI"/>
          <w:bCs/>
          <w:i/>
          <w:iCs/>
          <w:color w:val="333333"/>
          <w:sz w:val="22"/>
          <w:szCs w:val="22"/>
          <w:lang w:eastAsia="es-AR"/>
        </w:rPr>
        <w:t xml:space="preserve"> </w:t>
      </w:r>
      <w:r w:rsidRPr="00A04318">
        <w:rPr>
          <w:rFonts w:eastAsia="Times New Roman" w:cs="Segoe UI"/>
          <w:bCs/>
          <w:i/>
          <w:iCs/>
          <w:color w:val="333333"/>
          <w:sz w:val="22"/>
          <w:szCs w:val="22"/>
          <w:lang w:eastAsia="es-AR"/>
        </w:rPr>
        <w:t>Cuadernos de Economía</w:t>
      </w:r>
      <w:r w:rsidRPr="00A04318">
        <w:rPr>
          <w:rFonts w:eastAsia="Times New Roman" w:cs="Segoe UI"/>
          <w:color w:val="333333"/>
          <w:sz w:val="22"/>
          <w:szCs w:val="22"/>
          <w:lang w:eastAsia="es-AR"/>
        </w:rPr>
        <w:t xml:space="preserve">, Año 40, </w:t>
      </w:r>
      <w:proofErr w:type="spellStart"/>
      <w:r w:rsidRPr="00A04318">
        <w:rPr>
          <w:rFonts w:eastAsia="Times New Roman" w:cs="Segoe UI"/>
          <w:color w:val="333333"/>
          <w:sz w:val="22"/>
          <w:szCs w:val="22"/>
          <w:lang w:eastAsia="es-AR"/>
        </w:rPr>
        <w:t>Nol</w:t>
      </w:r>
      <w:proofErr w:type="spellEnd"/>
      <w:r w:rsidRPr="00A04318">
        <w:rPr>
          <w:rFonts w:eastAsia="Times New Roman" w:cs="Segoe UI"/>
          <w:color w:val="333333"/>
          <w:sz w:val="22"/>
          <w:szCs w:val="22"/>
          <w:lang w:eastAsia="es-AR"/>
        </w:rPr>
        <w:t>. 121, pp. 546-655, Diciembre 2003.</w:t>
      </w:r>
      <w:r w:rsidRPr="00F521DF">
        <w:rPr>
          <w:rFonts w:eastAsia="Times New Roman" w:cs="Segoe UI"/>
          <w:bCs/>
          <w:color w:val="333333"/>
          <w:sz w:val="22"/>
          <w:szCs w:val="22"/>
          <w:lang w:eastAsia="es-AR"/>
        </w:rPr>
        <w:t xml:space="preserve"> </w:t>
      </w:r>
      <w:hyperlink r:id="rId3" w:tgtFrame="_blank" w:history="1">
        <w:r w:rsidRPr="00A04318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val="en-US" w:eastAsia="es-AR"/>
          </w:rPr>
          <w:t>To Float or to Trail: Evidence on the Impact of Exchange Rate Regimes</w:t>
        </w:r>
      </w:hyperlink>
      <w:r w:rsidRPr="00F521DF">
        <w:rPr>
          <w:rFonts w:eastAsia="Times New Roman" w:cs="Segoe UI"/>
          <w:bCs/>
          <w:color w:val="333333"/>
          <w:sz w:val="22"/>
          <w:szCs w:val="22"/>
          <w:lang w:val="en-US" w:eastAsia="es-AR"/>
        </w:rPr>
        <w:t xml:space="preserve"> </w:t>
      </w:r>
      <w:r w:rsidRPr="00A04318">
        <w:rPr>
          <w:rFonts w:eastAsia="Times New Roman" w:cs="Segoe UI"/>
          <w:bCs/>
          <w:i/>
          <w:iCs/>
          <w:color w:val="333333"/>
          <w:sz w:val="22"/>
          <w:szCs w:val="22"/>
          <w:lang w:val="en-US" w:eastAsia="es-AR"/>
        </w:rPr>
        <w:t xml:space="preserve">American Economic </w:t>
      </w:r>
      <w:proofErr w:type="spellStart"/>
      <w:r w:rsidRPr="00A04318">
        <w:rPr>
          <w:rFonts w:eastAsia="Times New Roman" w:cs="Segoe UI"/>
          <w:bCs/>
          <w:i/>
          <w:iCs/>
          <w:color w:val="333333"/>
          <w:sz w:val="22"/>
          <w:szCs w:val="22"/>
          <w:lang w:val="en-US" w:eastAsia="es-AR"/>
        </w:rPr>
        <w:t>Review</w:t>
      </w:r>
      <w:proofErr w:type="gramStart"/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>,Vol</w:t>
      </w:r>
      <w:proofErr w:type="spellEnd"/>
      <w:proofErr w:type="gramEnd"/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>. 93, No. 4, September 2003,(</w:t>
      </w:r>
      <w:r>
        <w:rPr>
          <w:rFonts w:eastAsia="Times New Roman" w:cs="Segoe UI"/>
          <w:color w:val="333333"/>
          <w:sz w:val="22"/>
          <w:szCs w:val="22"/>
          <w:lang w:val="en-US" w:eastAsia="es-AR"/>
        </w:rPr>
        <w:t xml:space="preserve">con </w:t>
      </w:r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 xml:space="preserve">Eduardo Levy </w:t>
      </w:r>
      <w:proofErr w:type="spellStart"/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>Yeyati</w:t>
      </w:r>
      <w:proofErr w:type="spellEnd"/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>).</w:t>
      </w:r>
      <w:r w:rsidRPr="00F521DF">
        <w:rPr>
          <w:rFonts w:eastAsia="Times New Roman" w:cs="Segoe UI"/>
          <w:bCs/>
          <w:color w:val="333333"/>
          <w:sz w:val="22"/>
          <w:szCs w:val="22"/>
          <w:lang w:val="en-US" w:eastAsia="es-AR"/>
        </w:rPr>
        <w:t xml:space="preserve"> </w:t>
      </w:r>
    </w:p>
  </w:endnote>
  <w:endnote w:id="2">
    <w:p w:rsidR="00F521DF" w:rsidRPr="00670998" w:rsidRDefault="00F521DF" w:rsidP="00670998">
      <w:pPr>
        <w:pStyle w:val="Textonotaalfinal"/>
        <w:rPr>
          <w:sz w:val="22"/>
          <w:szCs w:val="22"/>
          <w:lang w:val="en-US"/>
        </w:rPr>
      </w:pPr>
      <w:r>
        <w:rPr>
          <w:rStyle w:val="Refdenotaalfinal"/>
        </w:rPr>
        <w:endnoteRef/>
      </w:r>
      <w:r w:rsidRPr="00F521DF">
        <w:rPr>
          <w:lang w:val="en-US"/>
        </w:rPr>
        <w:t xml:space="preserve"> </w:t>
      </w:r>
      <w:hyperlink r:id="rId4" w:tgtFrame="_blank" w:history="1">
        <w:r w:rsidRPr="00A04318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val="en-US" w:eastAsia="es-AR"/>
          </w:rPr>
          <w:t>Exchange Rate Regimes and Economic Performance</w:t>
        </w:r>
      </w:hyperlink>
      <w:r w:rsidRPr="00F521DF">
        <w:rPr>
          <w:rFonts w:eastAsia="Times New Roman" w:cs="Segoe UI"/>
          <w:bCs/>
          <w:i/>
          <w:iCs/>
          <w:color w:val="333333"/>
          <w:sz w:val="22"/>
          <w:szCs w:val="22"/>
          <w:lang w:val="en-US" w:eastAsia="es-AR"/>
        </w:rPr>
        <w:t xml:space="preserve"> </w:t>
      </w:r>
      <w:r w:rsidRPr="00A04318">
        <w:rPr>
          <w:rFonts w:eastAsia="Times New Roman" w:cs="Segoe UI"/>
          <w:bCs/>
          <w:i/>
          <w:iCs/>
          <w:color w:val="333333"/>
          <w:sz w:val="22"/>
          <w:szCs w:val="22"/>
          <w:lang w:val="en-US" w:eastAsia="es-AR"/>
        </w:rPr>
        <w:t>IMF Staff Papers</w:t>
      </w:r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 xml:space="preserve">, Vol. 47, pp. 62-98. </w:t>
      </w:r>
      <w:r>
        <w:rPr>
          <w:rFonts w:eastAsia="Times New Roman" w:cs="Segoe UI"/>
          <w:color w:val="333333"/>
          <w:sz w:val="22"/>
          <w:szCs w:val="22"/>
          <w:lang w:val="en-US" w:eastAsia="es-AR"/>
        </w:rPr>
        <w:t xml:space="preserve">2001 (con </w:t>
      </w:r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 xml:space="preserve">Eduardo Levy </w:t>
      </w:r>
      <w:proofErr w:type="spellStart"/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>Yeyati</w:t>
      </w:r>
      <w:proofErr w:type="spellEnd"/>
      <w:r w:rsidRPr="00A04318">
        <w:rPr>
          <w:rFonts w:eastAsia="Times New Roman" w:cs="Segoe UI"/>
          <w:color w:val="333333"/>
          <w:sz w:val="22"/>
          <w:szCs w:val="22"/>
          <w:lang w:val="en-US" w:eastAsia="es-AR"/>
        </w:rPr>
        <w:t>).</w:t>
      </w:r>
      <w:r>
        <w:rPr>
          <w:rFonts w:eastAsia="Times New Roman" w:cs="Segoe UI"/>
          <w:color w:val="333333"/>
          <w:sz w:val="22"/>
          <w:szCs w:val="22"/>
          <w:lang w:val="en-US" w:eastAsia="es-AR"/>
        </w:rPr>
        <w:t xml:space="preserve"> </w:t>
      </w:r>
      <w:hyperlink r:id="rId5" w:history="1">
        <w:r w:rsidRPr="00A04318">
          <w:rPr>
            <w:rFonts w:eastAsia="Times New Roman" w:cs="Segoe UI"/>
            <w:bCs/>
            <w:color w:val="0000FF"/>
            <w:sz w:val="22"/>
            <w:szCs w:val="22"/>
            <w:bdr w:val="none" w:sz="0" w:space="0" w:color="auto" w:frame="1"/>
            <w:lang w:val="en-US" w:eastAsia="es-AR"/>
          </w:rPr>
          <w:t>-</w:t>
        </w:r>
      </w:hyperlink>
      <w:r w:rsidRPr="00A04318">
        <w:rPr>
          <w:rFonts w:eastAsia="Times New Roman" w:cs="Segoe UI"/>
          <w:bCs/>
          <w:color w:val="333333"/>
          <w:sz w:val="22"/>
          <w:szCs w:val="22"/>
          <w:lang w:val="en-US" w:eastAsia="es-AR"/>
        </w:rPr>
        <w:t xml:space="preserve">Exchange Rate Undervaluation and Economic Growth: Diaz Alejandro (1965) </w:t>
      </w:r>
      <w:proofErr w:type="gramStart"/>
      <w:r w:rsidRPr="00A04318">
        <w:rPr>
          <w:rFonts w:eastAsia="Times New Roman" w:cs="Segoe UI"/>
          <w:bCs/>
          <w:color w:val="333333"/>
          <w:sz w:val="22"/>
          <w:szCs w:val="22"/>
          <w:lang w:val="en-US" w:eastAsia="es-AR"/>
        </w:rPr>
        <w:t>Revisited</w:t>
      </w:r>
      <w:r w:rsidRPr="00F521DF">
        <w:rPr>
          <w:rFonts w:eastAsia="Times New Roman" w:cs="Segoe UI"/>
          <w:color w:val="333333"/>
          <w:sz w:val="22"/>
          <w:szCs w:val="22"/>
          <w:lang w:val="en-US" w:eastAsia="es-AR"/>
        </w:rPr>
        <w:t xml:space="preserve"> </w:t>
      </w:r>
      <w:r>
        <w:rPr>
          <w:rFonts w:eastAsia="Times New Roman" w:cs="Segoe UI"/>
          <w:color w:val="333333"/>
          <w:sz w:val="22"/>
          <w:szCs w:val="22"/>
          <w:lang w:val="en-US" w:eastAsia="es-AR"/>
        </w:rPr>
        <w:t xml:space="preserve"> </w:t>
      </w:r>
      <w:proofErr w:type="gramEnd"/>
      <w:hyperlink r:id="rId6" w:history="1">
        <w:r w:rsidRPr="00F521DF">
          <w:rPr>
            <w:rStyle w:val="Hipervnculo"/>
            <w:i/>
            <w:iCs/>
            <w:sz w:val="22"/>
            <w:szCs w:val="22"/>
            <w:lang w:val="en-US"/>
          </w:rPr>
          <w:t>Economics Letters</w:t>
        </w:r>
      </w:hyperlink>
      <w:r w:rsidRPr="00F521DF">
        <w:rPr>
          <w:color w:val="000000"/>
          <w:sz w:val="22"/>
          <w:szCs w:val="22"/>
          <w:lang w:val="en-US"/>
        </w:rPr>
        <w:t>, 2012, vol. 117, issue 3, pages 666-672</w:t>
      </w:r>
      <w:r>
        <w:rPr>
          <w:color w:val="000000"/>
          <w:sz w:val="22"/>
          <w:szCs w:val="22"/>
          <w:lang w:val="en-US"/>
        </w:rPr>
        <w:t xml:space="preserve"> (con Pablo </w:t>
      </w:r>
      <w:proofErr w:type="spellStart"/>
      <w:r>
        <w:rPr>
          <w:color w:val="000000"/>
          <w:sz w:val="22"/>
          <w:szCs w:val="22"/>
          <w:lang w:val="en-US"/>
        </w:rPr>
        <w:t>Gluzmann</w:t>
      </w:r>
      <w:proofErr w:type="spellEnd"/>
      <w:r>
        <w:rPr>
          <w:color w:val="000000"/>
          <w:sz w:val="22"/>
          <w:szCs w:val="22"/>
          <w:lang w:val="en-US"/>
        </w:rPr>
        <w:t xml:space="preserve"> y Eduardo Levy </w:t>
      </w:r>
      <w:proofErr w:type="spellStart"/>
      <w:r>
        <w:rPr>
          <w:color w:val="000000"/>
          <w:sz w:val="22"/>
          <w:szCs w:val="22"/>
          <w:lang w:val="en-US"/>
        </w:rPr>
        <w:t>Yeyati</w:t>
      </w:r>
      <w:proofErr w:type="spellEnd"/>
      <w:r>
        <w:rPr>
          <w:color w:val="000000"/>
          <w:sz w:val="22"/>
          <w:szCs w:val="22"/>
          <w:lang w:val="en-US"/>
        </w:rPr>
        <w:t>).</w:t>
      </w:r>
      <w:r w:rsidR="00670998">
        <w:rPr>
          <w:color w:val="000000"/>
          <w:sz w:val="22"/>
          <w:szCs w:val="22"/>
          <w:lang w:val="en-US"/>
        </w:rPr>
        <w:t xml:space="preserve"> </w:t>
      </w:r>
      <w:hyperlink r:id="rId7" w:tgtFrame="_blank" w:history="1">
        <w:r w:rsidR="00670998" w:rsidRPr="00670998">
          <w:rPr>
            <w:rFonts w:eastAsia="Times New Roman" w:cs="Segoe UI"/>
            <w:bCs/>
            <w:sz w:val="22"/>
            <w:szCs w:val="22"/>
            <w:bdr w:val="none" w:sz="0" w:space="0" w:color="auto" w:frame="1"/>
            <w:lang w:val="en-US" w:eastAsia="es-AR"/>
          </w:rPr>
          <w:t>Fear of Appreciation</w:t>
        </w:r>
      </w:hyperlink>
      <w:r w:rsidR="00670998" w:rsidRPr="00670998">
        <w:rPr>
          <w:rFonts w:eastAsia="Times New Roman" w:cs="Segoe UI"/>
          <w:b/>
          <w:bCs/>
          <w:color w:val="333333"/>
          <w:sz w:val="22"/>
          <w:szCs w:val="22"/>
          <w:lang w:val="en-US" w:eastAsia="es-AR"/>
        </w:rPr>
        <w:t xml:space="preserve">, </w:t>
      </w:r>
      <w:hyperlink r:id="rId8" w:history="1">
        <w:r w:rsidR="00670998" w:rsidRPr="00670998">
          <w:rPr>
            <w:rStyle w:val="Hipervnculo"/>
            <w:i/>
            <w:sz w:val="22"/>
            <w:szCs w:val="22"/>
            <w:lang w:val="en-US"/>
          </w:rPr>
          <w:t>Journal of Development Economics</w:t>
        </w:r>
      </w:hyperlink>
      <w:r w:rsidR="00670998" w:rsidRPr="00670998">
        <w:rPr>
          <w:color w:val="333333"/>
          <w:sz w:val="22"/>
          <w:szCs w:val="22"/>
          <w:lang w:val="en-US"/>
        </w:rPr>
        <w:t>, Elsev</w:t>
      </w:r>
      <w:r w:rsidR="00670998" w:rsidRPr="00670998">
        <w:rPr>
          <w:color w:val="333333"/>
          <w:sz w:val="22"/>
          <w:szCs w:val="22"/>
          <w:lang w:val="en-US"/>
        </w:rPr>
        <w:t xml:space="preserve">ier, vol. 101(C), pages 233-247 (con Pablo </w:t>
      </w:r>
      <w:proofErr w:type="spellStart"/>
      <w:r w:rsidR="00670998" w:rsidRPr="00670998">
        <w:rPr>
          <w:color w:val="333333"/>
          <w:sz w:val="22"/>
          <w:szCs w:val="22"/>
          <w:lang w:val="en-US"/>
        </w:rPr>
        <w:t>Gluzmann</w:t>
      </w:r>
      <w:proofErr w:type="spellEnd"/>
      <w:r w:rsidR="00670998" w:rsidRPr="00670998">
        <w:rPr>
          <w:color w:val="333333"/>
          <w:sz w:val="22"/>
          <w:szCs w:val="22"/>
          <w:lang w:val="en-US"/>
        </w:rPr>
        <w:t xml:space="preserve"> y Eduardo Levy </w:t>
      </w:r>
      <w:proofErr w:type="spellStart"/>
      <w:r w:rsidR="00670998" w:rsidRPr="00670998">
        <w:rPr>
          <w:color w:val="333333"/>
          <w:sz w:val="22"/>
          <w:szCs w:val="22"/>
          <w:lang w:val="en-US"/>
        </w:rPr>
        <w:t>Yeyati</w:t>
      </w:r>
      <w:proofErr w:type="spellEnd"/>
      <w:r w:rsidR="00670998" w:rsidRPr="00670998">
        <w:rPr>
          <w:color w:val="333333"/>
          <w:sz w:val="22"/>
          <w:szCs w:val="22"/>
          <w:lang w:val="en-US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736518"/>
      <w:docPartObj>
        <w:docPartGallery w:val="Page Numbers (Bottom of Page)"/>
        <w:docPartUnique/>
      </w:docPartObj>
    </w:sdtPr>
    <w:sdtContent>
      <w:p w:rsidR="00F521DF" w:rsidRDefault="00F521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98" w:rsidRPr="00670998">
          <w:rPr>
            <w:noProof/>
            <w:lang w:val="es-ES"/>
          </w:rPr>
          <w:t>2</w:t>
        </w:r>
        <w:r>
          <w:fldChar w:fldCharType="end"/>
        </w:r>
      </w:p>
    </w:sdtContent>
  </w:sdt>
  <w:p w:rsidR="00F521DF" w:rsidRDefault="00F521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C9" w:rsidRDefault="009A47C9" w:rsidP="00F521DF">
      <w:pPr>
        <w:spacing w:after="0" w:line="240" w:lineRule="auto"/>
      </w:pPr>
      <w:r>
        <w:separator/>
      </w:r>
    </w:p>
  </w:footnote>
  <w:footnote w:type="continuationSeparator" w:id="0">
    <w:p w:rsidR="009A47C9" w:rsidRDefault="009A47C9" w:rsidP="00F5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6B69"/>
    <w:multiLevelType w:val="hybridMultilevel"/>
    <w:tmpl w:val="D69EEA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0D"/>
    <w:rsid w:val="00055C59"/>
    <w:rsid w:val="002C097E"/>
    <w:rsid w:val="003140EA"/>
    <w:rsid w:val="00332028"/>
    <w:rsid w:val="00372005"/>
    <w:rsid w:val="00397C15"/>
    <w:rsid w:val="003D4995"/>
    <w:rsid w:val="0066496C"/>
    <w:rsid w:val="00670998"/>
    <w:rsid w:val="00691425"/>
    <w:rsid w:val="007F2B79"/>
    <w:rsid w:val="009A47C9"/>
    <w:rsid w:val="00A04318"/>
    <w:rsid w:val="00A3240D"/>
    <w:rsid w:val="00B91205"/>
    <w:rsid w:val="00E065C6"/>
    <w:rsid w:val="00F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struccionesenvocorreo">
    <w:name w:val="Instrucciones envío correo"/>
    <w:basedOn w:val="Normal"/>
    <w:rsid w:val="00A3240D"/>
  </w:style>
  <w:style w:type="paragraph" w:styleId="Prrafodelista">
    <w:name w:val="List Paragraph"/>
    <w:basedOn w:val="Normal"/>
    <w:uiPriority w:val="34"/>
    <w:qFormat/>
    <w:rsid w:val="00A3240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04318"/>
    <w:rPr>
      <w:strike w:val="0"/>
      <w:dstrike w:val="0"/>
      <w:color w:val="0000FF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character" w:styleId="nfasis">
    <w:name w:val="Emphasis"/>
    <w:basedOn w:val="Fuentedeprrafopredeter"/>
    <w:uiPriority w:val="20"/>
    <w:qFormat/>
    <w:rsid w:val="00A04318"/>
    <w:rPr>
      <w:i/>
      <w:iCs/>
    </w:rPr>
  </w:style>
  <w:style w:type="paragraph" w:styleId="NormalWeb">
    <w:name w:val="Normal (Web)"/>
    <w:basedOn w:val="Normal"/>
    <w:uiPriority w:val="99"/>
    <w:unhideWhenUsed/>
    <w:rsid w:val="00A0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043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3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1DF"/>
  </w:style>
  <w:style w:type="paragraph" w:styleId="Piedepgina">
    <w:name w:val="footer"/>
    <w:basedOn w:val="Normal"/>
    <w:link w:val="PiedepginaCar"/>
    <w:uiPriority w:val="99"/>
    <w:unhideWhenUsed/>
    <w:rsid w:val="00F52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DF"/>
  </w:style>
  <w:style w:type="paragraph" w:styleId="Textonotaalfinal">
    <w:name w:val="endnote text"/>
    <w:basedOn w:val="Normal"/>
    <w:link w:val="TextonotaalfinalCar"/>
    <w:uiPriority w:val="99"/>
    <w:unhideWhenUsed/>
    <w:rsid w:val="00F521D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521D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2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struccionesenvocorreo">
    <w:name w:val="Instrucciones envío correo"/>
    <w:basedOn w:val="Normal"/>
    <w:rsid w:val="00A3240D"/>
  </w:style>
  <w:style w:type="paragraph" w:styleId="Prrafodelista">
    <w:name w:val="List Paragraph"/>
    <w:basedOn w:val="Normal"/>
    <w:uiPriority w:val="34"/>
    <w:qFormat/>
    <w:rsid w:val="00A3240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04318"/>
    <w:rPr>
      <w:strike w:val="0"/>
      <w:dstrike w:val="0"/>
      <w:color w:val="0000FF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character" w:styleId="nfasis">
    <w:name w:val="Emphasis"/>
    <w:basedOn w:val="Fuentedeprrafopredeter"/>
    <w:uiPriority w:val="20"/>
    <w:qFormat/>
    <w:rsid w:val="00A04318"/>
    <w:rPr>
      <w:i/>
      <w:iCs/>
    </w:rPr>
  </w:style>
  <w:style w:type="paragraph" w:styleId="NormalWeb">
    <w:name w:val="Normal (Web)"/>
    <w:basedOn w:val="Normal"/>
    <w:uiPriority w:val="99"/>
    <w:unhideWhenUsed/>
    <w:rsid w:val="00A0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043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3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1DF"/>
  </w:style>
  <w:style w:type="paragraph" w:styleId="Piedepgina">
    <w:name w:val="footer"/>
    <w:basedOn w:val="Normal"/>
    <w:link w:val="PiedepginaCar"/>
    <w:uiPriority w:val="99"/>
    <w:unhideWhenUsed/>
    <w:rsid w:val="00F52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DF"/>
  </w:style>
  <w:style w:type="paragraph" w:styleId="Textonotaalfinal">
    <w:name w:val="endnote text"/>
    <w:basedOn w:val="Normal"/>
    <w:link w:val="TextonotaalfinalCar"/>
    <w:uiPriority w:val="99"/>
    <w:unhideWhenUsed/>
    <w:rsid w:val="00F521D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521D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2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deas.repec.org/s/eee/deveco.html" TargetMode="External"/><Relationship Id="rId3" Type="http://schemas.openxmlformats.org/officeDocument/2006/relationships/hyperlink" Target="http://www.aeaweb.org/articles.php?doi=10.1257/000282803769206250" TargetMode="External"/><Relationship Id="rId7" Type="http://schemas.openxmlformats.org/officeDocument/2006/relationships/hyperlink" Target="http://web.hks.harvard.edu/publications/workingpapers/Index.aspx" TargetMode="External"/><Relationship Id="rId2" Type="http://schemas.openxmlformats.org/officeDocument/2006/relationships/hyperlink" Target="http://www.utdt.edu/download.php?fname=_127728648732398600.pdf" TargetMode="External"/><Relationship Id="rId1" Type="http://schemas.openxmlformats.org/officeDocument/2006/relationships/hyperlink" Target="http://www.utdt.edu/Upload/_126797338585330000.pdf" TargetMode="External"/><Relationship Id="rId6" Type="http://schemas.openxmlformats.org/officeDocument/2006/relationships/hyperlink" Target="http://econpapers.repec.org/article/eeeecolet/" TargetMode="External"/><Relationship Id="rId5" Type="http://schemas.openxmlformats.org/officeDocument/2006/relationships/hyperlink" Target="http://www.utdt.edu/download.php?fname=_127730464182839500.pdf" TargetMode="External"/><Relationship Id="rId4" Type="http://schemas.openxmlformats.org/officeDocument/2006/relationships/hyperlink" Target="http://www.utdt.edu/Upload/_12679743670378780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2A"/>
    <w:rsid w:val="0013152A"/>
    <w:rsid w:val="00B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46447B8FE247448C548CCA7FAAF513">
    <w:name w:val="0E46447B8FE247448C548CCA7FAAF513"/>
    <w:rsid w:val="001315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46447B8FE247448C548CCA7FAAF513">
    <w:name w:val="0E46447B8FE247448C548CCA7FAAF513"/>
    <w:rsid w:val="00131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2B5D-C18C-4854-8C7B-17F129C9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1538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2014-02-19T22:14:00Z</dcterms:created>
  <dcterms:modified xsi:type="dcterms:W3CDTF">2014-02-21T21:06:00Z</dcterms:modified>
</cp:coreProperties>
</file>